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6D7" w:rsidRPr="00071049" w:rsidRDefault="008736D7" w:rsidP="004800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Канатный транспорт (канатные дороги и лифты).</w:t>
      </w:r>
    </w:p>
    <w:p w:rsidR="008736D7" w:rsidRDefault="008736D7" w:rsidP="004800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Лекция № 2</w:t>
      </w:r>
      <w:r w:rsidRPr="0007104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736D7" w:rsidRDefault="008736D7" w:rsidP="004800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36D7" w:rsidRDefault="008736D7" w:rsidP="004800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36D7" w:rsidRDefault="008736D7" w:rsidP="004800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лекции.</w:t>
      </w:r>
    </w:p>
    <w:p w:rsidR="008736D7" w:rsidRDefault="008736D7" w:rsidP="004800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6D7" w:rsidRDefault="008736D7" w:rsidP="0048001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0FC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Экономические показатели и основные положения расчета сети ППКД</w:t>
      </w:r>
      <w:r w:rsidRPr="005B70FC">
        <w:rPr>
          <w:rFonts w:ascii="Times New Roman" w:hAnsi="Times New Roman" w:cs="Times New Roman"/>
          <w:sz w:val="28"/>
          <w:szCs w:val="28"/>
        </w:rPr>
        <w:t>.</w:t>
      </w:r>
    </w:p>
    <w:p w:rsidR="008736D7" w:rsidRPr="00480018" w:rsidRDefault="008736D7" w:rsidP="0048001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0018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теории канатных систем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736D7" w:rsidRDefault="008736D7" w:rsidP="00480018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736D7" w:rsidRPr="0015248A" w:rsidRDefault="008736D7" w:rsidP="00480018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Pr="005B70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70FC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Экономические показатели и основные положения расчета сети ППКД</w:t>
      </w:r>
      <w:r w:rsidRPr="001524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8736D7" w:rsidRPr="00B868FC" w:rsidRDefault="008736D7" w:rsidP="00480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 места посадки к месту высадки пассажиров можно доставить различными видами транспорта, автомобильным, снегоходами, ППКД, вертолетами и т.д.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первом этапе анализируется возможность использования ППКД и альтернативных видов транспорта. Если принимается решение доставку осуществлять с помощью ППКД, то рассматривается возможность и целесообразность применения конкретного типа ППКД на основании анализа технико-экономических показателей. При этом необходимо учитывать назначения ППКД, то есть использование ППКД в качестве городского транспорта или для перевозки лыжников, спортсменов, посетителей выставочного комплекса, рабочих промышленных предприятий. 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Исходными данными для проектирования ППКД являются: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>- пропускная способность ППКД;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>- характеристика трассы (длина по горизонтали, перепад высот станций посадки и высадки пассажиров, углы наклона, рельеф местности, наличие сооружений, пересечений с другими дорогами и т.п.);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>- условия посадки и высадки пассажиров, сочетание с другими ППКД;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>- перспективы развития района в экономическом, культурном, спортивном отношении, экологические аспекты строительства ППКД.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Технико-экономический анализ выполняется на начальной стадии проектированиях ППКД и должен подтвердить экономическую целесообразность  строительства, обоснованность выбора конкретного типа ППКД.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>Для каждого выбранного варианта индивидуально определяются капитальные затраты на приобретение и монтаж оборудования (со строительной частью), эксплуатационные расходы, численность обслуживающего персонала ППКД, срок окупаемости.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1"/>
          <w:sz w:val="28"/>
          <w:szCs w:val="28"/>
        </w:rPr>
        <w:t>Капитальные затраты на сооружение ППКД</w:t>
      </w:r>
    </w:p>
    <w:p w:rsidR="008736D7" w:rsidRPr="00443B9D" w:rsidRDefault="008736D7" w:rsidP="00480018">
      <w:pPr>
        <w:spacing w:before="120" w:after="120" w:line="240" w:lineRule="auto"/>
        <w:ind w:firstLine="360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443B9D">
        <w:rPr>
          <w:rFonts w:ascii="Times New Roman" w:hAnsi="Times New Roman" w:cs="Times New Roman"/>
          <w:i/>
          <w:iCs/>
          <w:sz w:val="32"/>
          <w:szCs w:val="32"/>
        </w:rPr>
        <w:t>К = К</w:t>
      </w:r>
      <w:r w:rsidRPr="00443B9D">
        <w:rPr>
          <w:rFonts w:ascii="Times New Roman" w:hAnsi="Times New Roman" w:cs="Times New Roman"/>
          <w:i/>
          <w:iCs/>
          <w:sz w:val="32"/>
          <w:szCs w:val="32"/>
          <w:vertAlign w:val="subscript"/>
        </w:rPr>
        <w:t>л</w:t>
      </w:r>
      <w:r w:rsidRPr="00443B9D">
        <w:rPr>
          <w:rFonts w:ascii="Times New Roman" w:hAnsi="Times New Roman" w:cs="Times New Roman"/>
          <w:i/>
          <w:iCs/>
          <w:sz w:val="32"/>
          <w:szCs w:val="32"/>
        </w:rPr>
        <w:t xml:space="preserve"> + К</w:t>
      </w:r>
      <w:r w:rsidRPr="00443B9D">
        <w:rPr>
          <w:rFonts w:ascii="Times New Roman" w:hAnsi="Times New Roman" w:cs="Times New Roman"/>
          <w:i/>
          <w:iCs/>
          <w:sz w:val="32"/>
          <w:szCs w:val="32"/>
          <w:vertAlign w:val="subscript"/>
        </w:rPr>
        <w:t>п</w:t>
      </w:r>
      <w:r w:rsidRPr="00443B9D">
        <w:rPr>
          <w:rFonts w:ascii="Times New Roman" w:hAnsi="Times New Roman" w:cs="Times New Roman"/>
          <w:i/>
          <w:iCs/>
          <w:sz w:val="32"/>
          <w:szCs w:val="32"/>
        </w:rPr>
        <w:t xml:space="preserve"> + К</w:t>
      </w:r>
      <w:r w:rsidRPr="00443B9D">
        <w:rPr>
          <w:rFonts w:ascii="Times New Roman" w:hAnsi="Times New Roman" w:cs="Times New Roman"/>
          <w:i/>
          <w:iCs/>
          <w:sz w:val="32"/>
          <w:szCs w:val="32"/>
          <w:vertAlign w:val="subscript"/>
        </w:rPr>
        <w:t>пр</w:t>
      </w:r>
      <w:r w:rsidRPr="00443B9D">
        <w:rPr>
          <w:rFonts w:ascii="Times New Roman" w:hAnsi="Times New Roman" w:cs="Times New Roman"/>
          <w:i/>
          <w:iCs/>
          <w:sz w:val="32"/>
          <w:szCs w:val="32"/>
        </w:rPr>
        <w:t xml:space="preserve"> + К</w:t>
      </w:r>
      <w:r w:rsidRPr="00443B9D">
        <w:rPr>
          <w:rFonts w:ascii="Times New Roman" w:hAnsi="Times New Roman" w:cs="Times New Roman"/>
          <w:i/>
          <w:iCs/>
          <w:sz w:val="32"/>
          <w:szCs w:val="32"/>
          <w:vertAlign w:val="subscript"/>
        </w:rPr>
        <w:t>обв</w:t>
      </w:r>
      <w:r w:rsidRPr="00443B9D">
        <w:rPr>
          <w:rFonts w:ascii="Times New Roman" w:hAnsi="Times New Roman" w:cs="Times New Roman"/>
          <w:i/>
          <w:iCs/>
          <w:sz w:val="32"/>
          <w:szCs w:val="32"/>
        </w:rPr>
        <w:t>,</w:t>
      </w:r>
    </w:p>
    <w:p w:rsidR="008736D7" w:rsidRPr="00443B9D" w:rsidRDefault="008736D7" w:rsidP="0048001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443B9D">
        <w:rPr>
          <w:rFonts w:ascii="Times New Roman" w:hAnsi="Times New Roman" w:cs="Times New Roman"/>
          <w:sz w:val="28"/>
          <w:szCs w:val="28"/>
        </w:rPr>
        <w:t xml:space="preserve"> </w:t>
      </w:r>
      <w:r w:rsidRPr="00443B9D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443B9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л</w:t>
      </w:r>
      <w:r w:rsidRPr="00443B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43B9D">
        <w:rPr>
          <w:rFonts w:ascii="Times New Roman" w:hAnsi="Times New Roman" w:cs="Times New Roman"/>
          <w:color w:val="000000"/>
          <w:sz w:val="28"/>
          <w:szCs w:val="28"/>
        </w:rPr>
        <w:t>- затраты на строительство линейных опор и сооружений;</w:t>
      </w:r>
    </w:p>
    <w:p w:rsidR="008736D7" w:rsidRPr="00443B9D" w:rsidRDefault="008736D7" w:rsidP="00480018">
      <w:pPr>
        <w:spacing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443B9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п </w:t>
      </w:r>
      <w:r w:rsidRPr="00443B9D">
        <w:rPr>
          <w:rFonts w:ascii="Times New Roman" w:hAnsi="Times New Roman" w:cs="Times New Roman"/>
          <w:sz w:val="28"/>
          <w:szCs w:val="28"/>
        </w:rPr>
        <w:t>- строительство</w:t>
      </w:r>
      <w:r w:rsidRPr="00443B9D">
        <w:rPr>
          <w:rFonts w:ascii="Times New Roman" w:hAnsi="Times New Roman" w:cs="Times New Roman"/>
          <w:color w:val="000000"/>
          <w:sz w:val="28"/>
          <w:szCs w:val="28"/>
        </w:rPr>
        <w:t xml:space="preserve"> пер</w:t>
      </w:r>
      <w:r w:rsidRPr="00443B9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ронов для посадки и высадки</w:t>
      </w:r>
      <w:r w:rsidRPr="00443B9D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пассажиров;</w:t>
      </w:r>
    </w:p>
    <w:p w:rsidR="008736D7" w:rsidRPr="00443B9D" w:rsidRDefault="008736D7" w:rsidP="00480018">
      <w:pPr>
        <w:spacing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443B9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пр</w:t>
      </w:r>
      <w:r w:rsidRPr="00443B9D">
        <w:rPr>
          <w:rFonts w:ascii="Times New Roman" w:hAnsi="Times New Roman" w:cs="Times New Roman"/>
          <w:sz w:val="28"/>
          <w:szCs w:val="28"/>
        </w:rPr>
        <w:t xml:space="preserve"> - сооружение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приводной станции;</w:t>
      </w:r>
    </w:p>
    <w:p w:rsidR="008736D7" w:rsidRPr="00443B9D" w:rsidRDefault="008736D7" w:rsidP="00480018">
      <w:pPr>
        <w:spacing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443B9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обв</w:t>
      </w:r>
      <w:r w:rsidRPr="00443B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43B9D">
        <w:rPr>
          <w:rFonts w:ascii="Times New Roman" w:hAnsi="Times New Roman" w:cs="Times New Roman"/>
          <w:sz w:val="28"/>
          <w:szCs w:val="28"/>
        </w:rPr>
        <w:t>- сооружение о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бводной станции.</w:t>
      </w:r>
    </w:p>
    <w:p w:rsidR="008736D7" w:rsidRPr="00443B9D" w:rsidRDefault="008736D7" w:rsidP="00480018">
      <w:pPr>
        <w:shd w:val="clear" w:color="auto" w:fill="FFFFFF"/>
        <w:spacing w:before="14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Для кресельных ППКД, используемых в горной местности,  длиной 1,5…2 км, с разностью </w:t>
      </w:r>
      <w:r w:rsidRPr="00443B9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уровней от 300 до 500 м и пропускной способностью около 500 чел/ч, </w:t>
      </w:r>
      <w:r w:rsidRPr="00443B9D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затраты на строительство промежуточных опор и сооружений, приводной нижней) и обводной станций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(включая перроны и натяжные устройства) относятся между </w:t>
      </w:r>
      <w:r w:rsidRPr="00443B9D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собой в среднем, как 1:0,5:0,2. Для приблизительной оценки за</w:t>
      </w:r>
      <w:r w:rsidRPr="00443B9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43B9D">
        <w:rPr>
          <w:rFonts w:ascii="Times New Roman" w:hAnsi="Times New Roman" w:cs="Times New Roman"/>
          <w:color w:val="000000"/>
          <w:spacing w:val="-6"/>
          <w:sz w:val="28"/>
          <w:szCs w:val="28"/>
        </w:rPr>
        <w:t>трат на строительство ППКД можно использовать стоимость «одного километра» промежуточных опор и сооружений и к полученным затратам на строи</w:t>
      </w:r>
      <w:r w:rsidRPr="00443B9D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443B9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тельство линейных сооружений добавлять затраты на строительство станций, взятые </w:t>
      </w:r>
      <w:r w:rsidRPr="00443B9D">
        <w:rPr>
          <w:rFonts w:ascii="Times New Roman" w:hAnsi="Times New Roman" w:cs="Times New Roman"/>
          <w:color w:val="000000"/>
          <w:spacing w:val="3"/>
          <w:sz w:val="28"/>
          <w:szCs w:val="28"/>
        </w:rPr>
        <w:t>из вышеприведенного соотношения или по аналогам.</w:t>
      </w:r>
    </w:p>
    <w:p w:rsidR="008736D7" w:rsidRPr="00443B9D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z w:val="28"/>
          <w:szCs w:val="28"/>
        </w:rPr>
        <w:t>Для приближенной сравнительной оценки затрат на строитель</w:t>
      </w:r>
      <w:r w:rsidRPr="00443B9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43B9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ство ППКД разных типов можно пользоваться принятым в Австрии </w:t>
      </w:r>
      <w:r w:rsidRPr="00443B9D">
        <w:rPr>
          <w:rFonts w:ascii="Times New Roman" w:hAnsi="Times New Roman" w:cs="Times New Roman"/>
          <w:color w:val="000000"/>
          <w:spacing w:val="7"/>
          <w:sz w:val="28"/>
          <w:szCs w:val="28"/>
        </w:rPr>
        <w:t>соотношением Б : К : Г</w:t>
      </w:r>
      <w:r w:rsidRPr="00443B9D">
        <w:rPr>
          <w:rFonts w:ascii="Times New Roman" w:hAnsi="Times New Roman" w:cs="Times New Roman"/>
          <w:color w:val="000000"/>
          <w:spacing w:val="7"/>
          <w:sz w:val="28"/>
          <w:szCs w:val="28"/>
          <w:vertAlign w:val="subscript"/>
        </w:rPr>
        <w:t xml:space="preserve">1 </w:t>
      </w:r>
      <w:r w:rsidRPr="00443B9D">
        <w:rPr>
          <w:rFonts w:ascii="Times New Roman" w:hAnsi="Times New Roman" w:cs="Times New Roman"/>
          <w:color w:val="000000"/>
          <w:spacing w:val="7"/>
          <w:sz w:val="28"/>
          <w:szCs w:val="28"/>
        </w:rPr>
        <w:t>: Г</w:t>
      </w:r>
      <w:r w:rsidRPr="00443B9D">
        <w:rPr>
          <w:rFonts w:ascii="Times New Roman" w:hAnsi="Times New Roman" w:cs="Times New Roman"/>
          <w:color w:val="000000"/>
          <w:spacing w:val="7"/>
          <w:sz w:val="28"/>
          <w:szCs w:val="28"/>
          <w:vertAlign w:val="subscript"/>
        </w:rPr>
        <w:t xml:space="preserve">2 </w:t>
      </w:r>
      <w:r w:rsidRPr="00443B9D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: М = 1 : </w:t>
      </w:r>
      <w:r w:rsidRPr="00443B9D">
        <w:rPr>
          <w:rFonts w:ascii="Times New Roman" w:hAnsi="Times New Roman" w:cs="Times New Roman"/>
          <w:color w:val="000000"/>
          <w:spacing w:val="28"/>
          <w:sz w:val="28"/>
          <w:szCs w:val="28"/>
        </w:rPr>
        <w:t>(1,4</w:t>
      </w:r>
      <w:r w:rsidRPr="00443B9D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- 1,5) : (2,8 - 3) : 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>: (3,7 - 4) : (4,2 - 4,8), где Б, К, Г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  <w:vertAlign w:val="subscript"/>
        </w:rPr>
        <w:t>1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>, Г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  <w:vertAlign w:val="subscript"/>
        </w:rPr>
        <w:t>2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 М</w:t>
      </w:r>
      <w:r w:rsidRPr="00443B9D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>- затраты на строи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443B9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тельство соответственно буксировочной, кресельной, гондольной </w:t>
      </w:r>
      <w:r w:rsidRPr="00443B9D">
        <w:rPr>
          <w:rFonts w:ascii="Times New Roman" w:hAnsi="Times New Roman" w:cs="Times New Roman"/>
          <w:color w:val="000000"/>
          <w:spacing w:val="3"/>
          <w:sz w:val="28"/>
          <w:szCs w:val="28"/>
        </w:rPr>
        <w:t>одно- и двухканатной и маятниковой ППКД [0].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Годовые эксплуатационные расходы</w:t>
      </w:r>
    </w:p>
    <w:p w:rsidR="008736D7" w:rsidRPr="00443B9D" w:rsidRDefault="008736D7" w:rsidP="00480018">
      <w:pPr>
        <w:spacing w:before="120" w:after="120" w:line="240" w:lineRule="auto"/>
        <w:ind w:firstLine="284"/>
        <w:jc w:val="center"/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С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р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= З + Э + М + 0,01∑К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¡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(А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¡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+ А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  <w:lang w:val="en-US"/>
        </w:rPr>
        <w:t>p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¡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),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где 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– годовая заработная плата;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Э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– расходы на электроэнергию;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М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– расходы на смазочные и другие материалы;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vertAlign w:val="subscript"/>
        </w:rPr>
        <w:t>¡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  <w:vertAlign w:val="subscript"/>
        </w:rPr>
        <w:t xml:space="preserve">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- стоимость отдельных запасных частей, используемых при ремонте;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vertAlign w:val="subscript"/>
        </w:rPr>
        <w:t>¡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- амортизационные отчисления в процентах;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vertAlign w:val="subscript"/>
          <w:lang w:val="en-US"/>
        </w:rPr>
        <w:t>p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vertAlign w:val="subscript"/>
        </w:rPr>
        <w:t>¡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- амортизационные отчисления на ремонт в процентах.</w:t>
      </w:r>
    </w:p>
    <w:p w:rsidR="008736D7" w:rsidRPr="00443B9D" w:rsidRDefault="008736D7" w:rsidP="00480018">
      <w:pPr>
        <w:shd w:val="clear" w:color="auto" w:fill="FFFFFF"/>
        <w:spacing w:line="240" w:lineRule="auto"/>
        <w:ind w:left="43" w:firstLine="317"/>
        <w:jc w:val="both"/>
        <w:rPr>
          <w:rFonts w:ascii="Times New Roman" w:hAnsi="Times New Roman" w:cs="Times New Roman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Основную часть эксплуатационных расходов состав</w:t>
      </w:r>
      <w:r w:rsidRPr="00443B9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ляют заработная плата, </w:t>
      </w:r>
      <w:r w:rsidRPr="00443B9D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затрат на электроэнергию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 амортизационные отчисления. </w:t>
      </w:r>
      <w:r w:rsidRPr="00443B9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Расходы на текущий ремонт и содержание зданий и сооружений незначительны. 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Увеличение </w:t>
      </w:r>
      <w:r w:rsidRPr="00443B9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дальности перевозок снижает удельный вес расходов на заработную </w:t>
      </w:r>
      <w:r w:rsidRPr="00443B9D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плату, так как основная масса рабочих находится на станциях, и </w:t>
      </w:r>
      <w:r w:rsidRPr="00443B9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их численность и, следовательно, фонд заработной платы от длины </w:t>
      </w:r>
      <w:r w:rsidRPr="00443B9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дороги практически не зависят. 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Ежегодные приведенные расходы</w:t>
      </w:r>
    </w:p>
    <w:p w:rsidR="008736D7" w:rsidRPr="00443B9D" w:rsidRDefault="008736D7" w:rsidP="00480018">
      <w:pPr>
        <w:spacing w:before="120" w:after="120" w:line="240" w:lineRule="auto"/>
        <w:ind w:firstLine="284"/>
        <w:jc w:val="center"/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С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год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 xml:space="preserve"> = КЕ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 xml:space="preserve">н 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+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 xml:space="preserve"> 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С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р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,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где </w:t>
      </w:r>
      <w:r w:rsidRPr="00443B9D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>Е</w:t>
      </w:r>
      <w:r w:rsidRPr="00443B9D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vertAlign w:val="subscript"/>
        </w:rPr>
        <w:t xml:space="preserve">н </w:t>
      </w:r>
      <w:r w:rsidRPr="00443B9D">
        <w:rPr>
          <w:rFonts w:ascii="Times New Roman" w:hAnsi="Times New Roman" w:cs="Times New Roman"/>
          <w:color w:val="000000"/>
          <w:spacing w:val="4"/>
          <w:sz w:val="28"/>
          <w:szCs w:val="28"/>
        </w:rPr>
        <w:t>- норматив</w:t>
      </w:r>
      <w:r w:rsidRPr="00443B9D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443B9D">
        <w:rPr>
          <w:rFonts w:ascii="Times New Roman" w:hAnsi="Times New Roman" w:cs="Times New Roman"/>
          <w:color w:val="000000"/>
          <w:sz w:val="28"/>
          <w:szCs w:val="28"/>
        </w:rPr>
        <w:t>ный коэффициент эффективности капитальных вложений (Е</w:t>
      </w:r>
      <w:r w:rsidRPr="00443B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н</w:t>
      </w:r>
      <w:r w:rsidRPr="00443B9D">
        <w:rPr>
          <w:rFonts w:ascii="Times New Roman" w:hAnsi="Times New Roman" w:cs="Times New Roman"/>
          <w:color w:val="000000"/>
          <w:sz w:val="28"/>
          <w:szCs w:val="28"/>
        </w:rPr>
        <w:t xml:space="preserve"> = 0,1…</w:t>
      </w:r>
      <w:r w:rsidRPr="00443B9D">
        <w:rPr>
          <w:rFonts w:ascii="Times New Roman" w:hAnsi="Times New Roman" w:cs="Times New Roman"/>
          <w:color w:val="000000"/>
          <w:spacing w:val="11"/>
          <w:sz w:val="28"/>
          <w:szCs w:val="28"/>
        </w:rPr>
        <w:t>0,15), учитывающий срок окупаемости.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Основным экономическим показателем работы ППКД является 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себестоимость перевозок, определяемая как приведенные годовые </w:t>
      </w:r>
      <w:r w:rsidRPr="00443B9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затраты на строительство и эксплуатацию, отнесенные к объему </w:t>
      </w:r>
      <w:r w:rsidRPr="00443B9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перевозок за год, т.е.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годовой пропускной способности ППКД</w:t>
      </w:r>
      <w:r w:rsidRPr="00443B9D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Стоимость перевозки одного пассажира</w:t>
      </w:r>
    </w:p>
    <w:p w:rsidR="008736D7" w:rsidRPr="00443B9D" w:rsidRDefault="008736D7" w:rsidP="00480018">
      <w:pPr>
        <w:spacing w:before="120" w:after="120" w:line="240" w:lineRule="auto"/>
        <w:ind w:firstLine="284"/>
        <w:jc w:val="center"/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Ц = С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год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/П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г,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где П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  <w:vertAlign w:val="subscript"/>
        </w:rPr>
        <w:t xml:space="preserve">г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– годовая пропускная способность ППКД</w:t>
      </w:r>
    </w:p>
    <w:p w:rsidR="008736D7" w:rsidRPr="00443B9D" w:rsidRDefault="008736D7" w:rsidP="00480018">
      <w:pPr>
        <w:spacing w:before="120" w:after="120" w:line="240" w:lineRule="auto"/>
        <w:ind w:firstLine="284"/>
        <w:jc w:val="center"/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П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г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 xml:space="preserve"> = (П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perscript"/>
        </w:rPr>
        <w:t>.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к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м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perscript"/>
        </w:rPr>
        <w:t>.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Т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perscript"/>
        </w:rPr>
        <w:t>.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lang w:val="en-US"/>
        </w:rPr>
        <w:t>n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perscript"/>
        </w:rPr>
        <w:t>.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</w:rPr>
        <w:t>N)/к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32"/>
          <w:szCs w:val="32"/>
          <w:vertAlign w:val="subscript"/>
        </w:rPr>
        <w:t>н,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где 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П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– часовая пропускная способность ППКД, пас/час;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vertAlign w:val="subscript"/>
        </w:rPr>
        <w:t>м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– коэффициент использования дороги во времени;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Т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– продолжительность смены в часах;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en-US"/>
        </w:rPr>
        <w:t>n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– количество смен в сутки;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N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– число рабочих дней в году;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vertAlign w:val="subscript"/>
        </w:rPr>
      </w:pP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443B9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vertAlign w:val="subscript"/>
        </w:rPr>
        <w:t xml:space="preserve">н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  <w:vertAlign w:val="subscript"/>
        </w:rPr>
        <w:t xml:space="preserve">– 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</w:rPr>
        <w:t>коэффициент неравномерности загрузки подвижного состава</w:t>
      </w:r>
      <w:r w:rsidRPr="00443B9D">
        <w:rPr>
          <w:rFonts w:ascii="Times New Roman" w:hAnsi="Times New Roman" w:cs="Times New Roman"/>
          <w:color w:val="000000"/>
          <w:spacing w:val="2"/>
          <w:sz w:val="28"/>
          <w:szCs w:val="28"/>
          <w:vertAlign w:val="subscript"/>
        </w:rPr>
        <w:t>.</w:t>
      </w:r>
    </w:p>
    <w:p w:rsidR="008736D7" w:rsidRPr="00443B9D" w:rsidRDefault="008736D7" w:rsidP="0048001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43B9D">
        <w:rPr>
          <w:rFonts w:ascii="Times New Roman" w:hAnsi="Times New Roman" w:cs="Times New Roman"/>
          <w:color w:val="000000"/>
          <w:spacing w:val="-7"/>
          <w:sz w:val="28"/>
          <w:szCs w:val="28"/>
        </w:rPr>
        <w:t>Годовая пропускная способность может изменяться в значительных пределах, в зависимости от среднесуточного использования дороги во времени (к</w:t>
      </w:r>
      <w:r w:rsidRPr="00443B9D">
        <w:rPr>
          <w:rFonts w:ascii="Times New Roman" w:hAnsi="Times New Roman" w:cs="Times New Roman"/>
          <w:color w:val="000000"/>
          <w:spacing w:val="-7"/>
          <w:sz w:val="28"/>
          <w:szCs w:val="28"/>
          <w:vertAlign w:val="subscript"/>
        </w:rPr>
        <w:t xml:space="preserve">м </w:t>
      </w:r>
      <w:r w:rsidRPr="00443B9D">
        <w:rPr>
          <w:rFonts w:ascii="Times New Roman" w:hAnsi="Times New Roman" w:cs="Times New Roman"/>
          <w:color w:val="000000"/>
          <w:spacing w:val="-7"/>
          <w:sz w:val="28"/>
          <w:szCs w:val="28"/>
        </w:rPr>
        <w:t>= 0,4…0,9) и</w:t>
      </w:r>
      <w:r w:rsidRPr="00443B9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неравномерности </w:t>
      </w:r>
      <w:r w:rsidRPr="00443B9D">
        <w:rPr>
          <w:rFonts w:ascii="Times New Roman" w:hAnsi="Times New Roman" w:cs="Times New Roman"/>
          <w:color w:val="000000"/>
          <w:spacing w:val="-7"/>
          <w:sz w:val="28"/>
          <w:szCs w:val="28"/>
        </w:rPr>
        <w:t>пассажирского потока в течение года (к  = 1,0 … 2,0)</w:t>
      </w:r>
      <w:r w:rsidRPr="00443B9D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, которые в свою очередь зависят от 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назначения ППКД, местных условий, сезонности, погоды и других фак</w:t>
      </w:r>
      <w:r w:rsidRPr="00443B9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443B9D">
        <w:rPr>
          <w:rFonts w:ascii="Times New Roman" w:hAnsi="Times New Roman" w:cs="Times New Roman"/>
          <w:color w:val="000000"/>
          <w:spacing w:val="-20"/>
          <w:sz w:val="28"/>
          <w:szCs w:val="28"/>
        </w:rPr>
        <w:t>торов.</w:t>
      </w:r>
    </w:p>
    <w:p w:rsidR="008736D7" w:rsidRPr="00F44FC6" w:rsidRDefault="008736D7" w:rsidP="00480018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44FC6">
        <w:rPr>
          <w:rFonts w:ascii="Times New Roman" w:hAnsi="Times New Roman" w:cs="Times New Roman"/>
          <w:color w:val="000000"/>
          <w:spacing w:val="-4"/>
          <w:sz w:val="28"/>
          <w:szCs w:val="28"/>
        </w:rPr>
        <w:t>Сравнительный анализ технико-экономических показателей ис</w:t>
      </w:r>
      <w:r w:rsidRPr="00F44FC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пользования ППКД в качестве средства городского транспорта, вы</w:t>
      </w:r>
      <w:r w:rsidRPr="00F44FC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F44FC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полненный ВНИИПТМАШем [20], показал, что в среднем 1 км канатной дороги заменяет 15 км автомобильной дороги, а капитальные </w:t>
      </w:r>
      <w:r w:rsidRPr="00F44FC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затраты для ППКД в 8 и более раз ниже, чем для традиционных </w:t>
      </w:r>
      <w:r w:rsidRPr="00F44FC6">
        <w:rPr>
          <w:rFonts w:ascii="Times New Roman" w:hAnsi="Times New Roman" w:cs="Times New Roman"/>
          <w:color w:val="000000"/>
          <w:spacing w:val="-7"/>
          <w:sz w:val="28"/>
          <w:szCs w:val="28"/>
        </w:rPr>
        <w:t>средств городского транспорта. Себестоимость перевозок, определен</w:t>
      </w:r>
      <w:r w:rsidRPr="00F44FC6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F44FC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ная по приведенным затратам на 1 км (с учетом сокращения длины </w:t>
      </w:r>
      <w:r w:rsidRPr="00F44FC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транспортирования), для ППКД в 1,5 и более раз меньше. При этом для маятниковых дорог самая высокая, а для кресельных и буксировочных - самая </w:t>
      </w:r>
      <w:r w:rsidRPr="00F44FC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низкая себестоимость перевозок. Затрата времени на поездку на </w:t>
      </w:r>
      <w:r w:rsidRPr="00F44FC6">
        <w:rPr>
          <w:rFonts w:ascii="Times New Roman" w:hAnsi="Times New Roman" w:cs="Times New Roman"/>
          <w:color w:val="000000"/>
          <w:spacing w:val="4"/>
          <w:sz w:val="28"/>
          <w:szCs w:val="28"/>
        </w:rPr>
        <w:t>канатных дорогах самая минимальная, что удобно для населения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44FC6">
        <w:rPr>
          <w:rFonts w:ascii="Times New Roman" w:hAnsi="Times New Roman" w:cs="Times New Roman"/>
          <w:color w:val="000000"/>
          <w:spacing w:val="-5"/>
          <w:sz w:val="28"/>
          <w:szCs w:val="28"/>
        </w:rPr>
        <w:t>[33]</w:t>
      </w:r>
      <w:r w:rsidRPr="00F44FC6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8736D7" w:rsidRPr="00480018" w:rsidRDefault="008736D7" w:rsidP="00480018">
      <w:pPr>
        <w:spacing w:line="240" w:lineRule="auto"/>
        <w:ind w:left="284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2. Основы теории канатных систем.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На подвесных канатных дорогах (ПКД) основными элементами является канаты, которые по назначению бывают несущими, тяговыми, несуще-тяговыми и натяжными. Перечисленные канаты имеют различное назначение, но все они воспринимают равномерно распределенную по длине нагрузку от силы тяжести самого каната и растягивающие усилие, создаваемое натяжным устройством.   На канаты несущие и несуще-тяговые  кроме этих нагрузок действует сила тяжести подвижного состава.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Канат под действием равномерно распределенной нагрузки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Рассмотрим основы теории канатных систем на примере несущее-тягового каната ПКД. Характерной особенностью канатов ПКД является большая длина пролетов и малая жесткость изгиба, поэтому для их расчета возможно применение положений теории гибкой нити [0, 12]. Для существующих на практике случаев сочетания действующих сил и перегибов канатов ПКД возможно применять раздел из теории упругой нити с малыми стрелами провисания [0]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Style w:val="Emphasis"/>
          <w:rFonts w:ascii="Times New Roman" w:hAnsi="Times New Roman" w:cs="Times New Roman"/>
          <w:b/>
          <w:bCs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&lt;&lt;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,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где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–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стрела провисания нити,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   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–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длина пролета.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Однако, применение даже этого раздела теории упругой нити связано с необходимостью использования при решении уравнения цепной линии метода последовательных приближений, что требует высокой точности вычислений и может привести к существенной ошибке.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Задача значительно упрощается, если кривую провисания в пролете под действием собственной силы тяжести рассматривать как квадратичную параболу. При замене цепной линии квадратичной параболой для большинства существующих ПКД отношение максимальной стрелы провеса к длине пролета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&lt;0,1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не превышает 2…3%. При увеличении пролетов более 1 км, что практически встречается редко, ошибка возрастает и может достигать 10%.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Для каната с малой стрелой провисания принимаем, что сила тяжести каната равномерно распределена не по кривой провисания, а по длин хорды пролета. 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Рассмотрим схему каната, на который действует равномерно распределенная по хорде пролета нагрузка.  Начало координат расположим в точке левой опоры (рис. 2.1). Из условия статического равновесия системы сумма сил на ось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равна нулю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∑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= - 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vertAlign w:val="subscript"/>
          <w:lang w:val="en-US"/>
        </w:rPr>
        <w:t>A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+ 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vertAlign w:val="subscript"/>
          <w:lang w:val="en-US"/>
        </w:rPr>
        <w:t>B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= 0,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отсюда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spacing w:val="6"/>
          <w:sz w:val="28"/>
          <w:szCs w:val="28"/>
          <w:vertAlign w:val="subscript"/>
          <w:lang w:val="en-US"/>
        </w:rPr>
        <w:t>A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=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spacing w:val="6"/>
          <w:sz w:val="28"/>
          <w:szCs w:val="28"/>
          <w:vertAlign w:val="subscript"/>
          <w:lang w:val="en-US"/>
        </w:rPr>
        <w:t>B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8736D7" w:rsidRPr="00480018" w:rsidRDefault="008736D7" w:rsidP="00480018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3.85pt;margin-top:25.65pt;width:33.45pt;height:41.25pt;z-index:251661312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xtg 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85pt;margin-top:22.9pt;width:33.45pt;height:41.25pt;z-index:251660288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h/2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438.2pt;margin-top:72.6pt;width:33.3pt;height:25.3pt;z-index:251659264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393.6pt;margin-top:90.95pt;width:32.2pt;height:24.7pt;z-index:251658240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327.7pt;margin-top:159.75pt;width:40.3pt;height:25.3pt;z-index:251657216" filled="f" stroked="f">
            <v:textbox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 w:rsidRPr="0065097A">
                    <w:rPr>
                      <w:sz w:val="28"/>
                      <w:szCs w:val="28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378.85pt;margin-top:100.15pt;width:40.3pt;height:25.3pt;z-index:251656192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S</w:t>
                  </w:r>
                  <w:r w:rsidRPr="0065097A">
                    <w:rPr>
                      <w:sz w:val="28"/>
                      <w:szCs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370.75pt;margin-top:151.65pt;width:40.3pt;height:25.3pt;z-index:251655168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65097A">
                    <w:rPr>
                      <w:sz w:val="28"/>
                      <w:szCs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306.1pt;margin-top:100.15pt;width:40.3pt;height:25.3pt;z-index:251654144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 w:rsidRPr="0065097A">
                    <w:rPr>
                      <w:sz w:val="28"/>
                      <w:szCs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252.9pt;margin-top:81.9pt;width:33.3pt;height:25.3pt;z-index:251653120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q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262.55pt;margin-top:157.7pt;width:33.3pt;height:25.3pt;z-index:251652096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264.95pt;margin-top:188.9pt;width:33.3pt;height:25.3pt;z-index:251651072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l/2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45.9pt;margin-top:273.7pt;width:33.3pt;height:25.3pt;z-index:251650048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231.65pt;margin-top:214.2pt;width:33.3pt;height:25.3pt;z-index:251649024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l-x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171.45pt;margin-top:239.5pt;width:33.3pt;height:25.3pt;z-index:251648000" filled="f" stroked="f">
            <v:textbox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 w:rsidRPr="0065097A">
                    <w:rPr>
                      <w:sz w:val="28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111.65pt;margin-top:214.2pt;width:33.3pt;height:25.3pt;z-index:251646976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143.3pt;margin-top:118.4pt;width:31.15pt;height:24.7pt;z-index:251643904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vertAlign w:val="subscript"/>
                      <w:lang w:val="en-US"/>
                    </w:rPr>
                  </w:pPr>
                  <w:r w:rsidRPr="0065097A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65097A">
                    <w:rPr>
                      <w:sz w:val="28"/>
                      <w:szCs w:val="28"/>
                      <w:vertAlign w:val="subscript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185.55pt;margin-top:121.8pt;width:33.45pt;height:41.25pt;z-index:251645952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 w:rsidRPr="0065097A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65097A">
                    <w:rPr>
                      <w:sz w:val="28"/>
                      <w:szCs w:val="28"/>
                      <w:vertAlign w:val="subscript"/>
                      <w:lang w:val="en-US"/>
                    </w:rPr>
                    <w:t>max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167.4pt;margin-top:112.25pt;width:32.2pt;height:24.7pt;z-index:251644928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80.6pt;margin-top:133.5pt;width:33.3pt;height:25.3pt;z-index:251642880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123.5pt;margin-top:102.85pt;width:33.3pt;height:25.3pt;z-index:251641856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43.05pt;margin-top:77.55pt;width:33.3pt;height:25.3pt;z-index:251640832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 w:rsidRPr="005543D6">
                    <w:rPr>
                      <w:sz w:val="28"/>
                      <w:szCs w:val="28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-3.8pt;margin-top:66.35pt;width:33.3pt;height:25.3pt;z-index:251639808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5543D6">
                    <w:rPr>
                      <w:sz w:val="28"/>
                      <w:szCs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61.25pt;margin-top:-2.45pt;width:33.3pt;height:25.3pt;z-index:251638784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V</w:t>
                  </w:r>
                  <w:r w:rsidRPr="005543D6">
                    <w:rPr>
                      <w:sz w:val="28"/>
                      <w:szCs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-5.55pt;margin-top:-5.75pt;width:33.3pt;height:25.3pt;z-index:251637760" filled="f" stroked="f">
            <v:textbox>
              <w:txbxContent>
                <w:p w:rsidR="008736D7" w:rsidRPr="005543D6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 w:rsidRPr="005543D6">
                    <w:rPr>
                      <w:sz w:val="28"/>
                      <w:szCs w:val="28"/>
                      <w:lang w:val="en-US"/>
                    </w:rPr>
                    <w:t>S</w:t>
                  </w:r>
                  <w:r w:rsidRPr="005543D6">
                    <w:rPr>
                      <w:sz w:val="28"/>
                      <w:szCs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 w:rsidRPr="00480018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311.25pt">
            <v:imagedata r:id="rId5" o:title=""/>
          </v:shape>
        </w:pic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Рис. 2.1. Схема каната с равномерно распределенной по хорде пролета нагрузкой.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Если разрезать канат в произвольном сечении (точка С) и рассмотреть только правую часть, то найдем 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-∑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= - 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Х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+ 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vertAlign w:val="subscript"/>
          <w:lang w:val="en-US"/>
        </w:rPr>
        <w:t>B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= 0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,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отсюда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Х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=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spacing w:val="6"/>
          <w:sz w:val="28"/>
          <w:szCs w:val="28"/>
          <w:vertAlign w:val="subscript"/>
          <w:lang w:val="en-US"/>
        </w:rPr>
        <w:t>B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=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spacing w:val="6"/>
          <w:sz w:val="28"/>
          <w:szCs w:val="28"/>
          <w:vertAlign w:val="subscript"/>
          <w:lang w:val="en-US"/>
        </w:rPr>
        <w:t>A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=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Таким образом, горизонтальная составляющая натяжения каната, нагруженного вертикальными силами одинакова в о всех сечениях.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Уравнения кривой провисания каната, отнесенное к началу координат в верхней опоре А имеет вид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y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β+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 xml:space="preserve"> 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(2.1)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Из теории гибкой нити [0] известно, что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х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,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                                                  (2.2)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  <w:vertAlign w:val="subscript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где М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 xml:space="preserve">х </w:t>
      </w:r>
      <w:r w:rsidRPr="00480018">
        <w:rPr>
          <w:rFonts w:ascii="Times New Roman" w:hAnsi="Times New Roman" w:cs="Times New Roman"/>
          <w:spacing w:val="6"/>
          <w:sz w:val="28"/>
          <w:szCs w:val="28"/>
          <w:vertAlign w:val="subscript"/>
        </w:rPr>
        <w:t xml:space="preserve">– изгибающий момент в сечении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 xml:space="preserve">х </w:t>
      </w:r>
      <w:r w:rsidRPr="00480018">
        <w:rPr>
          <w:rFonts w:ascii="Times New Roman" w:hAnsi="Times New Roman" w:cs="Times New Roman"/>
          <w:spacing w:val="6"/>
          <w:sz w:val="28"/>
          <w:szCs w:val="28"/>
          <w:vertAlign w:val="subscript"/>
        </w:rPr>
        <w:t>простой балки, загруженной аналогично нити.</w:t>
      </w:r>
    </w:p>
    <w:p w:rsidR="008736D7" w:rsidRPr="00480018" w:rsidRDefault="008736D7" w:rsidP="00480018">
      <w:pPr>
        <w:spacing w:before="120" w:after="100" w:afterAutospacing="1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  <w:vertAlign w:val="subscript"/>
        </w:rPr>
        <w:t xml:space="preserve">Тогда                   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y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β+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х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                                     (2.3)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Для равномерно распределенной по хорде пролета нагрузки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(рис.2.1)</w:t>
      </w:r>
    </w:p>
    <w:p w:rsidR="008736D7" w:rsidRPr="00480018" w:rsidRDefault="008736D7" w:rsidP="0048001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         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х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qlx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β –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β 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)/ 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.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        (2.4)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Следовательно, </w:t>
      </w:r>
    </w:p>
    <w:p w:rsidR="008736D7" w:rsidRPr="00480018" w:rsidRDefault="008736D7" w:rsidP="00480018">
      <w:pPr>
        <w:spacing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y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β +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)/ 2Н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(2.5)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Это уравнение параболы в системе координат приведенной на рис.2.1. Второе слагаемое правой части выражения представляет собой провес каната  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х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)/ 2Н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(2.6)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Тангенс угла наклона касательной к кривой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tgα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dy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dx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β +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-2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)/ 2Н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.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(2.7)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В середине пролета при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/2    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tgα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tg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Максимальное значение момента, а следовательно и провеса каната с равномерно распределенной по хорде вертикальной нагрузкой достигаетв середине пролета при 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/2</w:t>
      </w:r>
    </w:p>
    <w:p w:rsidR="008736D7" w:rsidRPr="00480018" w:rsidRDefault="008736D7" w:rsidP="00480018">
      <w:pPr>
        <w:spacing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/8Н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β.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(2.8)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По известному максимальному провесу каната определим горизонтальную составляющую натяжения</w:t>
      </w:r>
    </w:p>
    <w:p w:rsidR="008736D7" w:rsidRPr="00480018" w:rsidRDefault="008736D7" w:rsidP="00480018">
      <w:pPr>
        <w:spacing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Н=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/8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β. 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(2.9)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Подставляя это выражение в формулу 1.7, получим еще одну зависимость для угла наклона касательной к кривой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tgα=dy/dx= tg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 + 4f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 (l-2x)/l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.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 xml:space="preserve">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(2.10)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Величина угла наклона касательной к кривой у верхней опоры А при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=0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tgα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А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 + 4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/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  <w:vertAlign w:val="superscript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Подставим в это выражение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tg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β=h/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,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получим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tgα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А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=(4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+h)/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,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(2.11)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где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h –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разность отметок высот опор А и В.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Угол наклона у нижней опоры В при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tgα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= -(4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+h)/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.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(2.12)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Рассмотрим возможные случаи подхода каната к нижней опоре.</w:t>
      </w:r>
    </w:p>
    <w:p w:rsidR="008736D7" w:rsidRPr="00480018" w:rsidRDefault="008736D7" w:rsidP="00480018">
      <w:pPr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При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4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=h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tgα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=0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(рис. 2.2,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а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)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канат подходит к нижней опоре В горизонтально. Вертикальная сила в точке В равна нулю. Верхняя опора воспринимает всю вертикальную нагрузку, т.е.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V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A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= ql,  V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B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=0.</w:t>
      </w:r>
    </w:p>
    <w:p w:rsidR="008736D7" w:rsidRPr="00480018" w:rsidRDefault="008736D7" w:rsidP="00480018">
      <w:pPr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Если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4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&gt;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tgα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&lt;0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(рис. 2.2,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б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), то вертикальная составляющая реакции опоры В направлена вверх. </w:t>
      </w:r>
    </w:p>
    <w:p w:rsidR="008736D7" w:rsidRPr="00480018" w:rsidRDefault="008736D7" w:rsidP="00480018">
      <w:pPr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Если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4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&lt;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tgα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&gt;0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(рис. 2.2,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в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), то вертикальная составляющая реакции опоры В направлена вниз, т.е. опора должна оборудоваться отжимными роликами.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8736D7" w:rsidRPr="00480018" w:rsidRDefault="008736D7" w:rsidP="00480018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80018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8736D7" w:rsidRPr="00480018" w:rsidRDefault="008736D7" w:rsidP="00480018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50" type="#_x0000_t202" style="position:absolute;left:0;text-align:left;margin-left:111.65pt;margin-top:272.05pt;width:65.65pt;height:25.3pt;z-index:251677696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4f</w:t>
                  </w:r>
                  <w:r w:rsidRPr="008C4399">
                    <w:rPr>
                      <w:sz w:val="28"/>
                      <w:szCs w:val="28"/>
                      <w:vertAlign w:val="subscript"/>
                      <w:lang w:val="en-US"/>
                    </w:rPr>
                    <w:t>max</w:t>
                  </w:r>
                  <w:r>
                    <w:rPr>
                      <w:sz w:val="28"/>
                      <w:szCs w:val="28"/>
                      <w:lang w:val="en-US"/>
                    </w:rPr>
                    <w:t>&lt;h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-8.4pt;margin-top:272.05pt;width:33.3pt;height:25.3pt;z-index:251676672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64.6pt;margin-top:288.55pt;width:33.3pt;height:25.3pt;z-index:251675648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α</w:t>
                  </w:r>
                  <w:r w:rsidRPr="008C4399">
                    <w:rPr>
                      <w:sz w:val="28"/>
                      <w:szCs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83.85pt;margin-top:290.65pt;width:31.15pt;height:29.7pt;z-index:251674624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vertAlign w:val="subscript"/>
                      <w:lang w:val="en-US"/>
                    </w:rPr>
                  </w:pPr>
                  <w:r w:rsidRPr="0065097A">
                    <w:rPr>
                      <w:sz w:val="28"/>
                      <w:szCs w:val="28"/>
                      <w:lang w:val="en-US"/>
                    </w:rPr>
                    <w:t>f</w:t>
                  </w:r>
                  <w:r>
                    <w:rPr>
                      <w:sz w:val="28"/>
                      <w:szCs w:val="28"/>
                      <w:vertAlign w:val="subscript"/>
                      <w:lang w:val="en-US"/>
                    </w:rPr>
                    <w:t>max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85.5pt;margin-top:191.9pt;width:31.15pt;height:29.7pt;z-index:251668480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vertAlign w:val="subscript"/>
                      <w:lang w:val="en-US"/>
                    </w:rPr>
                  </w:pPr>
                  <w:r w:rsidRPr="0065097A">
                    <w:rPr>
                      <w:sz w:val="28"/>
                      <w:szCs w:val="28"/>
                      <w:lang w:val="en-US"/>
                    </w:rPr>
                    <w:t>f</w:t>
                  </w:r>
                  <w:r>
                    <w:rPr>
                      <w:sz w:val="28"/>
                      <w:szCs w:val="28"/>
                      <w:vertAlign w:val="subscript"/>
                      <w:lang w:val="en-US"/>
                    </w:rPr>
                    <w:t>max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258.5pt;margin-top:341.65pt;width:40.85pt;height:25.3pt;z-index:251673600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α</w:t>
                  </w:r>
                  <w:r>
                    <w:rPr>
                      <w:sz w:val="28"/>
                      <w:szCs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204.3pt;margin-top:335.55pt;width:33.3pt;height:25.3pt;z-index:251672576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251.55pt;margin-top:197.4pt;width:40.85pt;height:25.3pt;z-index:251671552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α</w:t>
                  </w:r>
                  <w:r>
                    <w:rPr>
                      <w:sz w:val="28"/>
                      <w:szCs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204.95pt;margin-top:192.2pt;width:33.3pt;height:25.3pt;z-index:251669504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-8.4pt;margin-top:132.15pt;width:33.3pt;height:25.3pt;z-index:251666432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52.2pt;margin-top:170.45pt;width:33.3pt;height:25.3pt;z-index:251667456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α</w:t>
                  </w:r>
                  <w:r w:rsidRPr="008C4399">
                    <w:rPr>
                      <w:sz w:val="28"/>
                      <w:szCs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left:0;text-align:left;margin-left:105.8pt;margin-top:145.15pt;width:65.65pt;height:25.3pt;z-index:251670528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4f</w:t>
                  </w:r>
                  <w:r w:rsidRPr="008C4399">
                    <w:rPr>
                      <w:sz w:val="28"/>
                      <w:szCs w:val="28"/>
                      <w:vertAlign w:val="subscript"/>
                      <w:lang w:val="en-US"/>
                    </w:rPr>
                    <w:t>max</w:t>
                  </w:r>
                  <w:r>
                    <w:rPr>
                      <w:sz w:val="28"/>
                      <w:szCs w:val="28"/>
                      <w:lang w:val="en-US"/>
                    </w:rPr>
                    <w:t>&gt;h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220.7pt;margin-top:32.55pt;width:32.2pt;height:24.7pt;z-index:251665408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213.3pt;margin-top:62.2pt;width:33.3pt;height:25.3pt;z-index:251664384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93.85pt;margin-top:83.1pt;width:31.15pt;height:29.7pt;z-index:251663360" filled="f" stroked="f">
            <v:textbox style="layout-flow:vertical;mso-layout-flow-alt:bottom-to-top">
              <w:txbxContent>
                <w:p w:rsidR="008736D7" w:rsidRPr="0065097A" w:rsidRDefault="008736D7" w:rsidP="00480018">
                  <w:pPr>
                    <w:rPr>
                      <w:sz w:val="28"/>
                      <w:szCs w:val="28"/>
                      <w:vertAlign w:val="subscript"/>
                      <w:lang w:val="en-US"/>
                    </w:rPr>
                  </w:pPr>
                  <w:r w:rsidRPr="0065097A">
                    <w:rPr>
                      <w:sz w:val="28"/>
                      <w:szCs w:val="28"/>
                      <w:lang w:val="en-US"/>
                    </w:rPr>
                    <w:t>f</w:t>
                  </w:r>
                  <w:r>
                    <w:rPr>
                      <w:sz w:val="28"/>
                      <w:szCs w:val="28"/>
                      <w:vertAlign w:val="subscript"/>
                      <w:lang w:val="en-US"/>
                    </w:rPr>
                    <w:t>max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90.2pt;margin-top:23.9pt;width:33.3pt;height:25.3pt;z-index:251662336" filled="f" stroked="f">
            <v:textbox>
              <w:txbxContent>
                <w:p w:rsidR="008736D7" w:rsidRPr="008C4399" w:rsidRDefault="008736D7" w:rsidP="00480018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α</w:t>
                  </w:r>
                  <w:r w:rsidRPr="008C4399">
                    <w:rPr>
                      <w:sz w:val="28"/>
                      <w:szCs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 w:rsidRPr="00480018">
        <w:rPr>
          <w:rFonts w:ascii="Times New Roman" w:hAnsi="Times New Roman" w:cs="Times New Roman"/>
          <w:sz w:val="28"/>
          <w:szCs w:val="28"/>
        </w:rPr>
        <w:pict>
          <v:shape id="_x0000_i1026" type="#_x0000_t75" style="width:283.5pt;height:375pt">
            <v:imagedata r:id="rId6" o:title=""/>
          </v:shape>
        </w:pict>
      </w:r>
      <w:r w:rsidRPr="004800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Рис.2.2. Возможные случаи подхода каната к нижней опоре: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а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) канат подходит к нижней опоре В горизонтально;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б) канат подходит к нижней опоре В снизу;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в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) канат подходит к нижней опоре В сверху.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Определим значение горизонтальной составляющей натяжения каната. В середине пролета касательная к параболе (точка Д рис. 2.1) параллельна хорде, то натяжение каната в середине пролета направлено под углом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β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к горизонту. Тогда горизонтальная составляющая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Н=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Д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,                     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(2.13)</w:t>
      </w:r>
    </w:p>
    <w:p w:rsidR="008736D7" w:rsidRPr="00480018" w:rsidRDefault="008736D7" w:rsidP="0048001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где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 xml:space="preserve">Д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– натяжение каната в точке Д.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Согласно теории гибкой нити [0] разность натяжений в любых двух точках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i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и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j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с разностью ординат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будет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Δ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i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-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j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.          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(2.14)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Это выражение справедливо с небольшой погрешностью и для параболы [0], тогда </w:t>
      </w:r>
    </w:p>
    <w:p w:rsidR="008736D7" w:rsidRPr="00480018" w:rsidRDefault="008736D7" w:rsidP="00480018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Д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А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– (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/2 +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)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,  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Д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В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+ (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/2 -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)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Сложив, эти выражения получим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Д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 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А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+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)/2 –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ср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–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,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(2.15)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где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ср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А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+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)/2 –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условное среднее значение натяжения каната в пролете.</w:t>
      </w:r>
    </w:p>
    <w:p w:rsidR="008736D7" w:rsidRPr="00480018" w:rsidRDefault="008736D7" w:rsidP="0048001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Так как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А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+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,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то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ср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+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+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)/2=Т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+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/2.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Подставим выражение 15 в формулу 13 получим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Н=(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ср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–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)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β.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(2.16)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Для практических расчетов можно пренебречь выражением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,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так как его величина мала по сравнению с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ср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, тогда</w:t>
      </w:r>
    </w:p>
    <w:p w:rsidR="008736D7" w:rsidRPr="00480018" w:rsidRDefault="008736D7" w:rsidP="00480018">
      <w:pPr>
        <w:spacing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Н=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ср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β.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(2.17)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Длину каната в одном пролете с равномерно распределенной нагрузкой определим по формуле для гибкой нити [12]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  <w:lang w:val="en-US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 = l/cos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 + (cos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3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/2H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)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 xml:space="preserve"> 0</w:t>
      </w:r>
      <w:r w:rsidRPr="00480018">
        <w:rPr>
          <w:b/>
          <w:bCs/>
          <w:spacing w:val="6"/>
          <w:sz w:val="28"/>
          <w:szCs w:val="28"/>
          <w:lang w:val="en-US"/>
        </w:rPr>
        <w:t>ʃ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dx,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 xml:space="preserve"> 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 xml:space="preserve">             (2.18)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где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–нормальная к оси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перерезывающая сила в сечении простой балки, загруженной так же как канат. Определенный интеграл от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0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до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можно вычислить по методу Верещагина путем перемножения эпюр перерезывающих сил[0]. В результате получим выражение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 +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3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β/24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.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                       (2.19)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Длина каната в пролете рассчитанная по этой формуле отличается от длины цепной линии незначительно [0, 11].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С учетом зависимости 1.17 длина каната будет 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  <w:lang w:val="en-US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 = l/cos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 +q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3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/24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ср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 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.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 xml:space="preserve"> 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 xml:space="preserve"> 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Выразим длину каната через величину провеса в середине пролета, подставив в выражение 19 значение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 из формулы 8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 = l/cos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 + 8f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 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  <w:lang w:val="en-US"/>
        </w:rPr>
        <w:t>3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/3l.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 xml:space="preserve">  </w:t>
      </w:r>
      <w:r w:rsidRPr="00480018">
        <w:rPr>
          <w:rFonts w:ascii="Times New Roman" w:hAnsi="Times New Roman" w:cs="Times New Roman"/>
          <w:spacing w:val="6"/>
          <w:sz w:val="28"/>
          <w:szCs w:val="28"/>
          <w:lang w:val="en-US"/>
        </w:rPr>
        <w:t xml:space="preserve">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(2.20) 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Рассмотрим, существует ли связь между провесом и напряжением в канате под действием только распределенной силы тяжести, для этого формулу 1.7 подставим значение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Н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из выражения 1.16 и получим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/8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ср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β,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отсюда   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ср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/8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Среднее напряжение в канате будет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b/>
          <w:bCs/>
          <w:i/>
          <w:iCs/>
          <w:spacing w:val="6"/>
          <w:sz w:val="28"/>
          <w:szCs w:val="28"/>
        </w:rPr>
        <w:t>Ϭ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ср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/8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β,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где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-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площадь поперечного сечения каната.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Подставим вместо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его значение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Fρ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,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где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ρ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–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плотность материала каната. </w:t>
      </w:r>
    </w:p>
    <w:p w:rsidR="008736D7" w:rsidRPr="00480018" w:rsidRDefault="008736D7" w:rsidP="00480018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Тогда                    </w:t>
      </w:r>
      <w:r w:rsidRPr="00480018">
        <w:rPr>
          <w:b/>
          <w:bCs/>
          <w:i/>
          <w:iCs/>
          <w:spacing w:val="6"/>
          <w:sz w:val="28"/>
          <w:szCs w:val="28"/>
        </w:rPr>
        <w:t>Ϭ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 xml:space="preserve"> ρl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/8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max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β.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Отсюда следует, что напряжение в канатах из одного материала независимо от их диаметра при одинаковых провесах в пролете длиной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будет одинаково.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2.3 Канат под действием равномерно распределенной нагрузки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spacing w:val="6"/>
          <w:sz w:val="28"/>
          <w:szCs w:val="28"/>
        </w:rPr>
        <w:t>и сосредоточенных сил</w:t>
      </w:r>
    </w:p>
    <w:p w:rsidR="008736D7" w:rsidRPr="00480018" w:rsidRDefault="008736D7" w:rsidP="00480018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pacing w:val="6"/>
          <w:sz w:val="28"/>
          <w:szCs w:val="28"/>
        </w:rPr>
      </w:pP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Суммарный провес каната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  <w:lang w:val="en-US"/>
        </w:rPr>
        <w:t>x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определяется исходя из суммарного момента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сум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в сечении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простой балки, загруженной распределенной нагрузкой и сосредоточенной силой аналогично канату [0,12]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сум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 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сум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/Н = (М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1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+М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)/Н 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1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+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2, 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где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1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,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,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и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1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,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2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–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моменты и провесы соответственно, от распределенной нагрузкой и сосредоточенной силы.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Учитывая выражение 2.2, 2.4 и 2.6 получим провес от равномерно  распределенной нагрузкой 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1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 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1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/Н=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)/ 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Н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и от действия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сосредоточенной силы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</w:t>
      </w:r>
    </w:p>
    <w:p w:rsidR="008736D7" w:rsidRPr="00480018" w:rsidRDefault="008736D7" w:rsidP="0048001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                                   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 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2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/Н.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Форма провисания каната соответствует кривой момента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сум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и представляет собой ряд пересекающихся парабол [0]. Точки пересечения парабол расположены в местах приложения сосредоточенных сил. При действии на канат одной сосредоточенной силы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Р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провес будет равен</w:t>
      </w:r>
    </w:p>
    <w:p w:rsidR="008736D7" w:rsidRPr="00480018" w:rsidRDefault="008736D7" w:rsidP="00480018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2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= 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2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/Н = Р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)/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Н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>Суммарный провес в точке под грузом</w:t>
      </w:r>
    </w:p>
    <w:p w:rsidR="008736D7" w:rsidRPr="00480018" w:rsidRDefault="008736D7" w:rsidP="0048001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          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сум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 xml:space="preserve">1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+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)/ 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Н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 +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Р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)/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Н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</w:p>
    <w:p w:rsidR="008736D7" w:rsidRPr="00480018" w:rsidRDefault="008736D7" w:rsidP="0048001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или             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lang w:val="en-US"/>
        </w:rPr>
        <w:t>f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  <w:vertAlign w:val="subscript"/>
        </w:rPr>
        <w:t>сум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=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)(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+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Р)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/2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Н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β.                        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(2.21)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Длину каната, находящемуся под действием равномерно распределенной нагрузки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и сосредоточенной силы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Р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определим, вычислив значение интеграла из выражения 18. Для условий одновременного приложения распределенной нагрузки и сосредоточенной силы получим</w:t>
      </w:r>
    </w:p>
    <w:p w:rsidR="008736D7" w:rsidRPr="00480018" w:rsidRDefault="008736D7" w:rsidP="0048001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0</w:t>
      </w:r>
      <w:r w:rsidRPr="00480018">
        <w:rPr>
          <w:spacing w:val="6"/>
          <w:sz w:val="28"/>
          <w:szCs w:val="28"/>
        </w:rPr>
        <w:t>ʃ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dx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=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 xml:space="preserve">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0</w:t>
      </w:r>
      <w:r w:rsidRPr="00480018">
        <w:rPr>
          <w:spacing w:val="6"/>
          <w:sz w:val="28"/>
          <w:szCs w:val="28"/>
        </w:rPr>
        <w:t>ʃ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1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dx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+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0</w:t>
      </w:r>
      <w:r w:rsidRPr="00480018">
        <w:rPr>
          <w:spacing w:val="6"/>
          <w:sz w:val="28"/>
          <w:szCs w:val="28"/>
        </w:rPr>
        <w:t>ʃ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dx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 +2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0</w:t>
      </w:r>
      <w:r w:rsidRPr="00480018">
        <w:rPr>
          <w:spacing w:val="6"/>
          <w:sz w:val="28"/>
          <w:szCs w:val="28"/>
        </w:rPr>
        <w:t>ʃ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1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dx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,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где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>1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 – перерезывающая сила от распределенной нагрузки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>, действующей на горизонтальную балку,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bscript"/>
        </w:rPr>
        <w:t xml:space="preserve">2 </w:t>
      </w: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- перерезывающая сила от нагрузки </w:t>
      </w:r>
      <w:r w:rsidRPr="00480018">
        <w:rPr>
          <w:rFonts w:ascii="Times New Roman" w:hAnsi="Times New Roman" w:cs="Times New Roman"/>
          <w:b/>
          <w:bCs/>
          <w:i/>
          <w:iCs/>
          <w:spacing w:val="6"/>
          <w:sz w:val="28"/>
          <w:szCs w:val="28"/>
        </w:rPr>
        <w:t>Р.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Путем перемножения перерезывающих сил по методу Верещагина с учетом выражения 1.19 получим длину каната в пролете </w:t>
      </w:r>
    </w:p>
    <w:p w:rsidR="008736D7" w:rsidRPr="00480018" w:rsidRDefault="008736D7" w:rsidP="0048001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 +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3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β/24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+[Р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)/2Н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]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3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 +[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Р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-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)/2Н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]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Длина каната при расположении в середине пролета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x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= 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/2</w:t>
      </w:r>
    </w:p>
    <w:p w:rsidR="008736D7" w:rsidRPr="00480018" w:rsidRDefault="008736D7" w:rsidP="0048001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i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=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/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 +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3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β/24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H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+(Р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/8Н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)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3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 + (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q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Р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l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/2Н)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lang w:val="en-US"/>
        </w:rPr>
        <w:t>cos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  <w:vertAlign w:val="superscript"/>
        </w:rPr>
        <w:t>2</w:t>
      </w:r>
      <w:r w:rsidRPr="00480018">
        <w:rPr>
          <w:rFonts w:ascii="Times New Roman" w:hAnsi="Times New Roman" w:cs="Times New Roman"/>
          <w:i/>
          <w:iCs/>
          <w:spacing w:val="6"/>
          <w:sz w:val="28"/>
          <w:szCs w:val="28"/>
        </w:rPr>
        <w:t>β.</w:t>
      </w:r>
    </w:p>
    <w:p w:rsidR="008736D7" w:rsidRPr="00480018" w:rsidRDefault="008736D7" w:rsidP="0048001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pacing w:val="6"/>
          <w:sz w:val="28"/>
          <w:szCs w:val="28"/>
        </w:rPr>
      </w:pPr>
      <w:r w:rsidRPr="00480018">
        <w:rPr>
          <w:rFonts w:ascii="Times New Roman" w:hAnsi="Times New Roman" w:cs="Times New Roman"/>
          <w:spacing w:val="6"/>
          <w:sz w:val="28"/>
          <w:szCs w:val="28"/>
        </w:rPr>
        <w:t xml:space="preserve">При большем числе сосредоточенных сил в пролете решение выполняется аналогично [0, 12]. </w:t>
      </w:r>
    </w:p>
    <w:p w:rsidR="008736D7" w:rsidRDefault="008736D7" w:rsidP="00480018">
      <w:pPr>
        <w:spacing w:line="240" w:lineRule="auto"/>
        <w:ind w:firstLine="284"/>
        <w:jc w:val="both"/>
        <w:rPr>
          <w:spacing w:val="6"/>
          <w:sz w:val="28"/>
          <w:szCs w:val="28"/>
          <w:vertAlign w:val="superscript"/>
        </w:rPr>
      </w:pPr>
      <w:r>
        <w:rPr>
          <w:spacing w:val="6"/>
          <w:sz w:val="28"/>
          <w:szCs w:val="28"/>
        </w:rPr>
        <w:t xml:space="preserve">      </w:t>
      </w:r>
      <w:r w:rsidRPr="00A86EDD">
        <w:rPr>
          <w:spacing w:val="6"/>
          <w:sz w:val="28"/>
          <w:szCs w:val="28"/>
        </w:rPr>
        <w:t xml:space="preserve"> </w:t>
      </w:r>
      <w:r w:rsidRPr="00A86EDD">
        <w:rPr>
          <w:spacing w:val="6"/>
          <w:sz w:val="28"/>
          <w:szCs w:val="28"/>
          <w:vertAlign w:val="superscript"/>
        </w:rPr>
        <w:t xml:space="preserve">    </w:t>
      </w:r>
    </w:p>
    <w:p w:rsidR="008736D7" w:rsidRDefault="008736D7" w:rsidP="00480018">
      <w:pPr>
        <w:spacing w:line="240" w:lineRule="auto"/>
      </w:pPr>
    </w:p>
    <w:p w:rsidR="008736D7" w:rsidRDefault="008736D7" w:rsidP="00480018">
      <w:pPr>
        <w:spacing w:after="0" w:line="240" w:lineRule="auto"/>
        <w:ind w:firstLine="709"/>
        <w:jc w:val="both"/>
      </w:pPr>
    </w:p>
    <w:sectPr w:rsidR="008736D7" w:rsidSect="00C00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74B"/>
    <w:multiLevelType w:val="multilevel"/>
    <w:tmpl w:val="B65ED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hint="default"/>
        <w:i w:val="0"/>
        <w:iCs w:val="0"/>
      </w:rPr>
    </w:lvl>
  </w:abstractNum>
  <w:abstractNum w:abstractNumId="1">
    <w:nsid w:val="0A62012C"/>
    <w:multiLevelType w:val="hybridMultilevel"/>
    <w:tmpl w:val="ACE66FEE"/>
    <w:lvl w:ilvl="0" w:tplc="3C6A1B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965059"/>
    <w:multiLevelType w:val="hybridMultilevel"/>
    <w:tmpl w:val="13560FC0"/>
    <w:lvl w:ilvl="0" w:tplc="CBA050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333C82"/>
    <w:multiLevelType w:val="hybridMultilevel"/>
    <w:tmpl w:val="14EAB73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20435AD8"/>
    <w:multiLevelType w:val="multilevel"/>
    <w:tmpl w:val="CEE0E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>
    <w:nsid w:val="27134078"/>
    <w:multiLevelType w:val="singleLevel"/>
    <w:tmpl w:val="ED1E2ED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9B3E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8247167"/>
    <w:multiLevelType w:val="singleLevel"/>
    <w:tmpl w:val="B454B0EA"/>
    <w:lvl w:ilvl="0">
      <w:start w:val="3"/>
      <w:numFmt w:val="decimal"/>
      <w:lvlText w:val="7.%1. "/>
      <w:legacy w:legacy="1" w:legacySpace="0" w:legacyIndent="283"/>
      <w:lvlJc w:val="left"/>
      <w:pPr>
        <w:ind w:left="850" w:hanging="283"/>
      </w:pPr>
      <w:rPr>
        <w:rFonts w:ascii="TimesET" w:hAnsi="TimesET" w:cs="TimesET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8">
    <w:nsid w:val="39E53B47"/>
    <w:multiLevelType w:val="hybridMultilevel"/>
    <w:tmpl w:val="D2A21F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C037D5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D7B4F7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404A0B71"/>
    <w:multiLevelType w:val="singleLevel"/>
    <w:tmpl w:val="51E42882"/>
    <w:lvl w:ilvl="0">
      <w:start w:val="2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ET" w:hAnsi="TimesET" w:cs="TimesET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2">
    <w:nsid w:val="47C931F0"/>
    <w:multiLevelType w:val="hybridMultilevel"/>
    <w:tmpl w:val="0234E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4923064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EE60AE6"/>
    <w:multiLevelType w:val="hybridMultilevel"/>
    <w:tmpl w:val="453678CC"/>
    <w:lvl w:ilvl="0" w:tplc="AA2852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FC92B11"/>
    <w:multiLevelType w:val="hybridMultilevel"/>
    <w:tmpl w:val="BC34BBC6"/>
    <w:lvl w:ilvl="0" w:tplc="80BC265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F4F2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601018D9"/>
    <w:multiLevelType w:val="hybridMultilevel"/>
    <w:tmpl w:val="F0D269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63CD7634"/>
    <w:multiLevelType w:val="hybridMultilevel"/>
    <w:tmpl w:val="929E3458"/>
    <w:lvl w:ilvl="0" w:tplc="ACE08C0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42D52F5"/>
    <w:multiLevelType w:val="singleLevel"/>
    <w:tmpl w:val="ED1E2ED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653582C"/>
    <w:multiLevelType w:val="multilevel"/>
    <w:tmpl w:val="8F10FF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04" w:hanging="72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1">
    <w:nsid w:val="682A5D88"/>
    <w:multiLevelType w:val="hybridMultilevel"/>
    <w:tmpl w:val="BB36B234"/>
    <w:lvl w:ilvl="0" w:tplc="D27EE65A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DB2176C"/>
    <w:multiLevelType w:val="hybridMultilevel"/>
    <w:tmpl w:val="7B06F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D68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>
    <w:nsid w:val="704722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8"/>
  </w:num>
  <w:num w:numId="2">
    <w:abstractNumId w:val="15"/>
  </w:num>
  <w:num w:numId="3">
    <w:abstractNumId w:val="22"/>
  </w:num>
  <w:num w:numId="4">
    <w:abstractNumId w:val="21"/>
  </w:num>
  <w:num w:numId="5">
    <w:abstractNumId w:val="3"/>
  </w:num>
  <w:num w:numId="6">
    <w:abstractNumId w:val="7"/>
  </w:num>
  <w:num w:numId="7">
    <w:abstractNumId w:val="11"/>
  </w:num>
  <w:num w:numId="8">
    <w:abstractNumId w:val="11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850" w:hanging="283"/>
        </w:pPr>
        <w:rPr>
          <w:rFonts w:ascii="TimesET" w:hAnsi="TimesET" w:cs="TimesET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0"/>
  </w:num>
  <w:num w:numId="10">
    <w:abstractNumId w:val="23"/>
  </w:num>
  <w:num w:numId="11">
    <w:abstractNumId w:val="24"/>
  </w:num>
  <w:num w:numId="12">
    <w:abstractNumId w:val="13"/>
  </w:num>
  <w:num w:numId="13">
    <w:abstractNumId w:val="9"/>
  </w:num>
  <w:num w:numId="14">
    <w:abstractNumId w:val="16"/>
  </w:num>
  <w:num w:numId="15">
    <w:abstractNumId w:val="6"/>
  </w:num>
  <w:num w:numId="16">
    <w:abstractNumId w:val="10"/>
  </w:num>
  <w:num w:numId="17">
    <w:abstractNumId w:val="5"/>
  </w:num>
  <w:num w:numId="18">
    <w:abstractNumId w:val="19"/>
  </w:num>
  <w:num w:numId="19">
    <w:abstractNumId w:val="17"/>
  </w:num>
  <w:num w:numId="20">
    <w:abstractNumId w:val="12"/>
  </w:num>
  <w:num w:numId="21">
    <w:abstractNumId w:val="4"/>
  </w:num>
  <w:num w:numId="22">
    <w:abstractNumId w:val="8"/>
  </w:num>
  <w:num w:numId="23">
    <w:abstractNumId w:val="20"/>
  </w:num>
  <w:num w:numId="24">
    <w:abstractNumId w:val="1"/>
  </w:num>
  <w:num w:numId="25">
    <w:abstractNumId w:val="2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E5E"/>
    <w:rsid w:val="00071049"/>
    <w:rsid w:val="0015248A"/>
    <w:rsid w:val="0016161B"/>
    <w:rsid w:val="00186076"/>
    <w:rsid w:val="001B73DF"/>
    <w:rsid w:val="002A6FE7"/>
    <w:rsid w:val="003307E9"/>
    <w:rsid w:val="00333BDD"/>
    <w:rsid w:val="003F0FE4"/>
    <w:rsid w:val="00443B9D"/>
    <w:rsid w:val="004640C2"/>
    <w:rsid w:val="00480018"/>
    <w:rsid w:val="005300A2"/>
    <w:rsid w:val="005543D6"/>
    <w:rsid w:val="005B70FC"/>
    <w:rsid w:val="0065097A"/>
    <w:rsid w:val="006C3E5E"/>
    <w:rsid w:val="00701820"/>
    <w:rsid w:val="007069C1"/>
    <w:rsid w:val="00761881"/>
    <w:rsid w:val="00764D89"/>
    <w:rsid w:val="00780623"/>
    <w:rsid w:val="007A5006"/>
    <w:rsid w:val="008736D7"/>
    <w:rsid w:val="008C4399"/>
    <w:rsid w:val="008F31BF"/>
    <w:rsid w:val="009E71E0"/>
    <w:rsid w:val="00A86EDD"/>
    <w:rsid w:val="00AF1723"/>
    <w:rsid w:val="00B868FC"/>
    <w:rsid w:val="00C00E4D"/>
    <w:rsid w:val="00C52129"/>
    <w:rsid w:val="00CA2942"/>
    <w:rsid w:val="00D11B55"/>
    <w:rsid w:val="00EC0194"/>
    <w:rsid w:val="00EF7E72"/>
    <w:rsid w:val="00F44FC6"/>
    <w:rsid w:val="00F8647A"/>
    <w:rsid w:val="00FA4AA5"/>
    <w:rsid w:val="00FD2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00E4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80018"/>
    <w:pPr>
      <w:keepNext/>
      <w:spacing w:before="240" w:after="60" w:line="240" w:lineRule="auto"/>
      <w:ind w:firstLine="426"/>
      <w:jc w:val="center"/>
      <w:outlineLvl w:val="0"/>
    </w:pPr>
    <w:rPr>
      <w:rFonts w:ascii="TimesET" w:hAnsi="TimesET" w:cs="TimesET"/>
      <w:b/>
      <w:bCs/>
      <w:spacing w:val="80"/>
      <w:kern w:val="2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80018"/>
    <w:pPr>
      <w:keepNext/>
      <w:spacing w:before="120" w:after="60" w:line="240" w:lineRule="auto"/>
      <w:jc w:val="center"/>
      <w:outlineLvl w:val="1"/>
    </w:pPr>
    <w:rPr>
      <w:rFonts w:ascii="TimesET" w:hAnsi="TimesET" w:cs="TimesET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80018"/>
    <w:pPr>
      <w:keepNext/>
      <w:spacing w:after="0" w:line="360" w:lineRule="auto"/>
      <w:jc w:val="both"/>
      <w:outlineLvl w:val="2"/>
    </w:pPr>
    <w:rPr>
      <w:rFonts w:ascii="Times New Roman" w:hAnsi="Times New Roman" w:cs="Times New Roman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480018"/>
    <w:pPr>
      <w:keepNext/>
      <w:spacing w:after="0" w:line="240" w:lineRule="auto"/>
      <w:ind w:firstLine="426"/>
      <w:jc w:val="center"/>
      <w:outlineLvl w:val="3"/>
    </w:pPr>
    <w:rPr>
      <w:rFonts w:ascii="TimesET" w:hAnsi="TimesET" w:cs="TimesET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480018"/>
    <w:pPr>
      <w:keepNext/>
      <w:spacing w:after="0" w:line="240" w:lineRule="auto"/>
      <w:jc w:val="both"/>
      <w:outlineLvl w:val="4"/>
    </w:pPr>
    <w:rPr>
      <w:rFonts w:ascii="Times New Roman" w:hAnsi="Times New Roman" w:cs="Times New Roman"/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480018"/>
    <w:pPr>
      <w:keepNext/>
      <w:spacing w:after="0" w:line="360" w:lineRule="auto"/>
      <w:ind w:left="567" w:right="-284" w:hanging="567"/>
      <w:outlineLvl w:val="5"/>
    </w:pPr>
    <w:rPr>
      <w:rFonts w:ascii="Times New Roman" w:hAnsi="Times New Roman" w:cs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480018"/>
    <w:pPr>
      <w:keepNext/>
      <w:spacing w:after="0" w:line="240" w:lineRule="auto"/>
      <w:ind w:left="567" w:right="-284"/>
      <w:jc w:val="center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480018"/>
    <w:pPr>
      <w:keepNext/>
      <w:spacing w:after="0" w:line="240" w:lineRule="auto"/>
      <w:ind w:left="567" w:right="-284"/>
      <w:jc w:val="both"/>
      <w:outlineLvl w:val="7"/>
    </w:pPr>
    <w:rPr>
      <w:rFonts w:ascii="Times New Roman" w:hAnsi="Times New Roman" w:cs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480018"/>
    <w:pPr>
      <w:keepNext/>
      <w:spacing w:after="0" w:line="240" w:lineRule="auto"/>
      <w:jc w:val="both"/>
      <w:outlineLvl w:val="8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link w:val="3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6DE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6DE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6DE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6DE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6DE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6DEB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6DEB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6DE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6DEB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uiPriority w:val="99"/>
    <w:qFormat/>
    <w:rsid w:val="0015248A"/>
    <w:pPr>
      <w:ind w:left="72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B70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DEB"/>
    <w:rPr>
      <w:rFonts w:ascii="Times New Roman" w:hAnsi="Times New Roman"/>
      <w:sz w:val="0"/>
      <w:szCs w:val="0"/>
    </w:rPr>
  </w:style>
  <w:style w:type="paragraph" w:customStyle="1" w:styleId="3">
    <w:name w:val="Знак Знак3"/>
    <w:basedOn w:val="Normal"/>
    <w:link w:val="DefaultParagraphFont"/>
    <w:autoRedefine/>
    <w:uiPriority w:val="99"/>
    <w:rsid w:val="005B70FC"/>
    <w:pPr>
      <w:autoSpaceDE w:val="0"/>
      <w:autoSpaceDN w:val="0"/>
      <w:adjustRightInd w:val="0"/>
      <w:spacing w:after="120" w:line="240" w:lineRule="exact"/>
    </w:pPr>
    <w:rPr>
      <w:rFonts w:ascii="Tahoma" w:hAnsi="Tahoma" w:cs="Tahoma"/>
      <w:color w:val="000000"/>
      <w:spacing w:val="2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480018"/>
    <w:pPr>
      <w:spacing w:after="0" w:line="240" w:lineRule="auto"/>
      <w:jc w:val="both"/>
    </w:pPr>
    <w:rPr>
      <w:rFonts w:ascii="TimesET" w:hAnsi="TimesET" w:cs="TimesET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16DEB"/>
    <w:rPr>
      <w:rFonts w:cs="Calibri"/>
    </w:rPr>
  </w:style>
  <w:style w:type="paragraph" w:styleId="BodyTextIndent2">
    <w:name w:val="Body Text Indent 2"/>
    <w:basedOn w:val="Normal"/>
    <w:link w:val="BodyTextIndent2Char"/>
    <w:uiPriority w:val="99"/>
    <w:rsid w:val="00480018"/>
    <w:pPr>
      <w:spacing w:after="0" w:line="360" w:lineRule="auto"/>
      <w:ind w:left="567"/>
      <w:jc w:val="both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16DEB"/>
    <w:rPr>
      <w:rFonts w:cs="Calibri"/>
    </w:rPr>
  </w:style>
  <w:style w:type="paragraph" w:styleId="BodyTextIndent3">
    <w:name w:val="Body Text Indent 3"/>
    <w:basedOn w:val="Normal"/>
    <w:link w:val="BodyTextIndent3Char"/>
    <w:uiPriority w:val="99"/>
    <w:rsid w:val="00480018"/>
    <w:pPr>
      <w:spacing w:after="0" w:line="240" w:lineRule="auto"/>
      <w:ind w:right="-284" w:firstLine="28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16DEB"/>
    <w:rPr>
      <w:rFonts w:cs="Calibri"/>
      <w:sz w:val="16"/>
      <w:szCs w:val="16"/>
    </w:rPr>
  </w:style>
  <w:style w:type="paragraph" w:styleId="BlockText">
    <w:name w:val="Block Text"/>
    <w:basedOn w:val="Normal"/>
    <w:uiPriority w:val="99"/>
    <w:rsid w:val="00480018"/>
    <w:pPr>
      <w:spacing w:after="0" w:line="240" w:lineRule="auto"/>
      <w:ind w:left="567" w:right="-284"/>
      <w:jc w:val="both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80018"/>
    <w:pPr>
      <w:spacing w:after="0" w:line="240" w:lineRule="auto"/>
      <w:ind w:right="-28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16DEB"/>
    <w:rPr>
      <w:rFonts w:cs="Calibri"/>
    </w:rPr>
  </w:style>
  <w:style w:type="paragraph" w:styleId="Header">
    <w:name w:val="header"/>
    <w:basedOn w:val="Normal"/>
    <w:link w:val="HeaderChar"/>
    <w:uiPriority w:val="99"/>
    <w:rsid w:val="00480018"/>
    <w:pPr>
      <w:tabs>
        <w:tab w:val="center" w:pos="4153"/>
        <w:tab w:val="right" w:pos="8306"/>
      </w:tabs>
      <w:spacing w:after="0" w:line="240" w:lineRule="auto"/>
      <w:ind w:firstLine="426"/>
      <w:jc w:val="both"/>
    </w:pPr>
    <w:rPr>
      <w:rFonts w:ascii="TimesET" w:hAnsi="TimesET" w:cs="TimesET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16DEB"/>
    <w:rPr>
      <w:rFonts w:cs="Calibri"/>
    </w:rPr>
  </w:style>
  <w:style w:type="paragraph" w:styleId="BodyTextIndent">
    <w:name w:val="Body Text Indent"/>
    <w:basedOn w:val="Normal"/>
    <w:link w:val="BodyTextIndentChar"/>
    <w:uiPriority w:val="99"/>
    <w:rsid w:val="00480018"/>
    <w:pPr>
      <w:spacing w:after="0" w:line="240" w:lineRule="auto"/>
      <w:ind w:firstLine="39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16DEB"/>
    <w:rPr>
      <w:rFonts w:cs="Calibri"/>
    </w:rPr>
  </w:style>
  <w:style w:type="character" w:styleId="PageNumber">
    <w:name w:val="page number"/>
    <w:basedOn w:val="DefaultParagraphFont"/>
    <w:uiPriority w:val="99"/>
    <w:rsid w:val="00480018"/>
  </w:style>
  <w:style w:type="paragraph" w:styleId="BodyText3">
    <w:name w:val="Body Text 3"/>
    <w:basedOn w:val="Normal"/>
    <w:link w:val="BodyText3Char"/>
    <w:uiPriority w:val="99"/>
    <w:rsid w:val="00480018"/>
    <w:pPr>
      <w:spacing w:after="0" w:line="240" w:lineRule="auto"/>
      <w:ind w:right="-1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16DEB"/>
    <w:rPr>
      <w:rFonts w:cs="Calibri"/>
      <w:sz w:val="16"/>
      <w:szCs w:val="16"/>
    </w:rPr>
  </w:style>
  <w:style w:type="paragraph" w:styleId="Footer">
    <w:name w:val="footer"/>
    <w:basedOn w:val="Normal"/>
    <w:link w:val="FooterChar"/>
    <w:uiPriority w:val="99"/>
    <w:rsid w:val="0048001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16DEB"/>
    <w:rPr>
      <w:rFonts w:cs="Calibri"/>
    </w:rPr>
  </w:style>
  <w:style w:type="table" w:styleId="TableGrid">
    <w:name w:val="Table Grid"/>
    <w:basedOn w:val="TableNormal"/>
    <w:uiPriority w:val="99"/>
    <w:locked/>
    <w:rsid w:val="00480018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4800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1444</TotalTime>
  <Pages>11</Pages>
  <Words>2284</Words>
  <Characters>13019</Characters>
  <Application>Microsoft Office Outlook</Application>
  <DocSecurity>0</DocSecurity>
  <Lines>0</Lines>
  <Paragraphs>0</Paragraphs>
  <ScaleCrop>false</ScaleCrop>
  <Company>Мысль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Линькова</cp:lastModifiedBy>
  <cp:revision>11</cp:revision>
  <cp:lastPrinted>2013-04-22T09:54:00Z</cp:lastPrinted>
  <dcterms:created xsi:type="dcterms:W3CDTF">2012-08-10T04:02:00Z</dcterms:created>
  <dcterms:modified xsi:type="dcterms:W3CDTF">2013-04-22T09:54:00Z</dcterms:modified>
</cp:coreProperties>
</file>